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3EBE" w:rsidRDefault="00EE3EBE" w:rsidP="00EE3EBE">
      <w:pPr>
        <w:spacing w:before="360"/>
        <w:jc w:val="center"/>
        <w:rPr>
          <w:rFonts w:ascii="Etelka Light Pro" w:hAnsi="Etelka Light Pro"/>
          <w:szCs w:val="22"/>
        </w:rPr>
      </w:pPr>
      <w:r>
        <w:rPr>
          <w:rFonts w:ascii="Etelka Light Pro" w:hAnsi="Etelka Light Pro"/>
          <w:szCs w:val="22"/>
        </w:rPr>
        <w:t>Семинар 1 июля.</w:t>
      </w:r>
    </w:p>
    <w:p w:rsidR="00EE3EBE" w:rsidRDefault="00EE3EBE" w:rsidP="00EE3EBE">
      <w:pPr>
        <w:spacing w:before="120"/>
        <w:jc w:val="center"/>
        <w:rPr>
          <w:rFonts w:ascii="Etelka Text Pro" w:hAnsi="Etelka Text Pro" w:cs="Etelka Text Pro"/>
          <w:b/>
          <w:sz w:val="32"/>
          <w:szCs w:val="32"/>
        </w:rPr>
      </w:pPr>
      <w:r w:rsidRPr="00CC2DC1">
        <w:rPr>
          <w:rFonts w:ascii="Etelka Text Pro" w:hAnsi="Etelka Text Pro" w:cs="Etelka Text Pro"/>
          <w:b/>
          <w:sz w:val="32"/>
          <w:szCs w:val="32"/>
        </w:rPr>
        <w:t xml:space="preserve">«Расчеты с работниками с учетом изменений в ТК РФ и НК РФ. Подготовка к отчетности по НДФЛ и страховым взносам </w:t>
      </w:r>
    </w:p>
    <w:p w:rsidR="00EE3EBE" w:rsidRPr="00CC2DC1" w:rsidRDefault="00EE3EBE" w:rsidP="00EE3EBE">
      <w:pPr>
        <w:jc w:val="center"/>
        <w:rPr>
          <w:rFonts w:ascii="Etelka Text Pro" w:hAnsi="Etelka Text Pro" w:cs="Etelka Text Pro"/>
          <w:b/>
          <w:sz w:val="32"/>
          <w:szCs w:val="32"/>
        </w:rPr>
      </w:pPr>
      <w:r w:rsidRPr="00CC2DC1">
        <w:rPr>
          <w:rFonts w:ascii="Etelka Text Pro" w:hAnsi="Etelka Text Pro" w:cs="Etelka Text Pro"/>
          <w:b/>
          <w:sz w:val="32"/>
          <w:szCs w:val="32"/>
        </w:rPr>
        <w:t>за первое полугодие 2026 года»</w:t>
      </w:r>
    </w:p>
    <w:p w:rsidR="00EE3EBE" w:rsidRPr="00A47C9C" w:rsidRDefault="00EE3EBE" w:rsidP="00EE3EBE">
      <w:pPr>
        <w:spacing w:before="120" w:line="276" w:lineRule="auto"/>
        <w:jc w:val="both"/>
        <w:rPr>
          <w:rFonts w:ascii="Etelka Light Pro" w:hAnsi="Etelka Light Pro"/>
          <w:i/>
          <w:sz w:val="22"/>
          <w:szCs w:val="22"/>
        </w:rPr>
      </w:pPr>
      <w:r w:rsidRPr="009D31E3">
        <w:rPr>
          <w:rFonts w:ascii="Etelka Light Pro" w:hAnsi="Etelka Light Pro"/>
          <w:i/>
          <w:sz w:val="22"/>
          <w:szCs w:val="22"/>
        </w:rPr>
        <w:t>Получите экспертный обзор всех принятых поправок и планируемых нововведений в ТК РФ и НК РФ, а также рекомендации по подготовке к отчетности.</w:t>
      </w:r>
      <w:r>
        <w:rPr>
          <w:rFonts w:ascii="Etelka Light Pro" w:hAnsi="Etelka Light Pro"/>
          <w:i/>
          <w:sz w:val="22"/>
          <w:szCs w:val="22"/>
        </w:rPr>
        <w:t xml:space="preserve"> Семинар поможет вам быть в курсе трендов учета труда и заработной платы, налогового контроля.</w:t>
      </w:r>
    </w:p>
    <w:p w:rsidR="00EE3EBE" w:rsidRPr="00D25A3C" w:rsidRDefault="00EE3EBE" w:rsidP="00EE3EBE">
      <w:pPr>
        <w:spacing w:before="120" w:line="276" w:lineRule="auto"/>
        <w:jc w:val="both"/>
      </w:pPr>
      <w:r w:rsidRPr="00A47C9C">
        <w:rPr>
          <w:rFonts w:ascii="Etelka Text Pro" w:hAnsi="Etelka Text Pro"/>
          <w:b/>
        </w:rPr>
        <w:t>Лектор:</w:t>
      </w:r>
      <w:r w:rsidRPr="00A47C9C">
        <w:rPr>
          <w:rFonts w:ascii="Etelka Light Pro" w:hAnsi="Etelka Light Pro"/>
          <w:sz w:val="22"/>
          <w:szCs w:val="22"/>
        </w:rPr>
        <w:t xml:space="preserve"> </w:t>
      </w:r>
      <w:r w:rsidRPr="00A47C9C">
        <w:rPr>
          <w:rFonts w:ascii="Etelka Light Pro" w:hAnsi="Etelka Light Pro" w:cs="Etelka Light Pro"/>
          <w:b/>
          <w:bCs/>
          <w:i/>
          <w:szCs w:val="22"/>
        </w:rPr>
        <w:t>Морозова Ирина Владимировна</w:t>
      </w:r>
      <w:r w:rsidRPr="00A47C9C">
        <w:rPr>
          <w:rFonts w:ascii="Etelka Light Pro" w:hAnsi="Etelka Light Pro" w:cs="Etelka Light Pro"/>
          <w:sz w:val="22"/>
          <w:szCs w:val="22"/>
        </w:rPr>
        <w:t xml:space="preserve">, эксперт-консультант по вопросам учета труда и </w:t>
      </w:r>
      <w:r w:rsidRPr="00D25A3C">
        <w:rPr>
          <w:rFonts w:ascii="Etelka Light Pro" w:hAnsi="Etelka Light Pro" w:cs="Etelka Light Pro"/>
          <w:sz w:val="22"/>
          <w:szCs w:val="22"/>
        </w:rPr>
        <w:t>заработной платы.</w:t>
      </w:r>
    </w:p>
    <w:p w:rsidR="00EE3EBE" w:rsidRPr="009D31E3" w:rsidRDefault="00EE3EBE" w:rsidP="00EE3EBE">
      <w:pPr>
        <w:spacing w:before="120" w:line="276" w:lineRule="auto"/>
        <w:jc w:val="both"/>
        <w:rPr>
          <w:rFonts w:ascii="Etelka Text Pro" w:hAnsi="Etelka Text Pro"/>
          <w:b/>
        </w:rPr>
      </w:pPr>
      <w:r w:rsidRPr="009D31E3">
        <w:rPr>
          <w:rFonts w:ascii="Etelka Text Pro" w:hAnsi="Etelka Text Pro"/>
          <w:b/>
        </w:rPr>
        <w:t>Чем полезно мероприятие:</w:t>
      </w:r>
    </w:p>
    <w:p w:rsidR="00EE3EBE" w:rsidRPr="009D31E3" w:rsidRDefault="00EE3EBE" w:rsidP="00EE3EBE">
      <w:pPr>
        <w:numPr>
          <w:ilvl w:val="0"/>
          <w:numId w:val="1"/>
        </w:numPr>
        <w:spacing w:before="40" w:line="276" w:lineRule="auto"/>
        <w:ind w:left="2117"/>
        <w:jc w:val="both"/>
        <w:rPr>
          <w:rFonts w:ascii="Etelka Light Pro" w:hAnsi="Etelka Light Pro"/>
          <w:sz w:val="22"/>
          <w:szCs w:val="22"/>
        </w:rPr>
      </w:pPr>
      <w:r w:rsidRPr="009D31E3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5080</wp:posOffset>
            </wp:positionH>
            <wp:positionV relativeFrom="paragraph">
              <wp:posOffset>88265</wp:posOffset>
            </wp:positionV>
            <wp:extent cx="1008380" cy="1008380"/>
            <wp:effectExtent l="0" t="0" r="1270" b="1270"/>
            <wp:wrapNone/>
            <wp:docPr id="1" name="Рисунок 1" descr="iconmonstr-calculator-10-icon-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conmonstr-calculator-10-icon-25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8380" cy="1008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D31E3">
        <w:rPr>
          <w:rFonts w:ascii="Etelka Light Pro" w:eastAsia="Cambria" w:hAnsi="Etelka Light Pro"/>
          <w:b/>
          <w:sz w:val="22"/>
          <w:szCs w:val="22"/>
        </w:rPr>
        <w:t>Получите экспертный разбор принятых изменений законодательства</w:t>
      </w:r>
      <w:r w:rsidRPr="009D31E3">
        <w:rPr>
          <w:rFonts w:ascii="Etelka Light Pro" w:hAnsi="Etelka Light Pro"/>
          <w:sz w:val="22"/>
          <w:szCs w:val="22"/>
        </w:rPr>
        <w:t>: ЕНС, автоматизация налогообложения, изменения в расчетах с работниками.</w:t>
      </w:r>
    </w:p>
    <w:p w:rsidR="00EE3EBE" w:rsidRPr="009D31E3" w:rsidRDefault="00EE3EBE" w:rsidP="00EE3EBE">
      <w:pPr>
        <w:numPr>
          <w:ilvl w:val="0"/>
          <w:numId w:val="1"/>
        </w:numPr>
        <w:spacing w:before="40" w:line="276" w:lineRule="auto"/>
        <w:ind w:left="2117"/>
        <w:jc w:val="both"/>
        <w:rPr>
          <w:rFonts w:ascii="Etelka Light Pro" w:hAnsi="Etelka Light Pro"/>
          <w:sz w:val="22"/>
          <w:szCs w:val="22"/>
        </w:rPr>
      </w:pPr>
      <w:r w:rsidRPr="009D31E3">
        <w:rPr>
          <w:rFonts w:ascii="Etelka Light Pro" w:hAnsi="Etelka Light Pro"/>
          <w:b/>
          <w:sz w:val="22"/>
          <w:szCs w:val="22"/>
        </w:rPr>
        <w:t>Грамотно составите отчетность:</w:t>
      </w:r>
      <w:r w:rsidRPr="009D31E3">
        <w:rPr>
          <w:rFonts w:ascii="Etelka Light Pro" w:hAnsi="Etelka Light Pro"/>
          <w:sz w:val="22"/>
          <w:szCs w:val="22"/>
        </w:rPr>
        <w:t xml:space="preserve"> заполнение форм 6-НДФЛ, ЕФС-1, РСВ.</w:t>
      </w:r>
    </w:p>
    <w:p w:rsidR="00EE3EBE" w:rsidRPr="009D31E3" w:rsidRDefault="00EE3EBE" w:rsidP="00EE3EBE">
      <w:pPr>
        <w:numPr>
          <w:ilvl w:val="0"/>
          <w:numId w:val="1"/>
        </w:numPr>
        <w:spacing w:before="40" w:line="276" w:lineRule="auto"/>
        <w:ind w:left="2117"/>
        <w:jc w:val="both"/>
        <w:rPr>
          <w:rFonts w:ascii="Etelka Light Pro" w:hAnsi="Etelka Light Pro"/>
          <w:sz w:val="22"/>
          <w:szCs w:val="22"/>
        </w:rPr>
      </w:pPr>
      <w:r w:rsidRPr="009D31E3">
        <w:rPr>
          <w:rFonts w:ascii="Etelka Light Pro" w:eastAsia="Cambria" w:hAnsi="Etelka Light Pro"/>
          <w:b/>
          <w:sz w:val="22"/>
          <w:szCs w:val="22"/>
        </w:rPr>
        <w:t>Снизите финансовые и административные риски:</w:t>
      </w:r>
      <w:r w:rsidRPr="009D31E3">
        <w:rPr>
          <w:rFonts w:ascii="Etelka Light Pro" w:eastAsia="Cambria" w:hAnsi="Etelka Light Pro"/>
          <w:sz w:val="22"/>
          <w:szCs w:val="22"/>
        </w:rPr>
        <w:t xml:space="preserve"> </w:t>
      </w:r>
      <w:r w:rsidRPr="009D31E3">
        <w:rPr>
          <w:rFonts w:ascii="Etelka Light Pro" w:hAnsi="Etelka Light Pro"/>
          <w:sz w:val="22"/>
          <w:szCs w:val="22"/>
        </w:rPr>
        <w:t>проверки, штрафы, профилактика рисков.</w:t>
      </w:r>
    </w:p>
    <w:p w:rsidR="00EE3EBE" w:rsidRDefault="00EE3EBE" w:rsidP="00EE3EBE">
      <w:pPr>
        <w:spacing w:before="120" w:line="276" w:lineRule="auto"/>
        <w:rPr>
          <w:rFonts w:ascii="Etelka Text Pro" w:hAnsi="Etelka Text Pro"/>
          <w:szCs w:val="22"/>
        </w:rPr>
      </w:pPr>
      <w:r w:rsidRPr="009D31E3">
        <w:rPr>
          <w:rFonts w:ascii="Etelka Text Pro" w:hAnsi="Etelka Text Pro"/>
          <w:b/>
          <w:szCs w:val="22"/>
        </w:rPr>
        <w:t>Слушатели получат</w:t>
      </w:r>
      <w:r w:rsidRPr="009D31E3">
        <w:rPr>
          <w:rFonts w:ascii="Etelka Text Pro" w:hAnsi="Etelka Text Pro"/>
          <w:szCs w:val="22"/>
        </w:rPr>
        <w:t>:</w:t>
      </w:r>
    </w:p>
    <w:p w:rsidR="00EE3EBE" w:rsidRDefault="00EE3EBE" w:rsidP="00EE3EBE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участие в мероприятии согласно условиям выбранного тарифа;</w:t>
      </w:r>
    </w:p>
    <w:p w:rsidR="00EE3EBE" w:rsidRDefault="00EE3EBE" w:rsidP="00EE3EBE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4255F8">
        <w:rPr>
          <w:rFonts w:ascii="Etelka Light Pro" w:hAnsi="Etelka Light Pro"/>
          <w:sz w:val="22"/>
          <w:szCs w:val="22"/>
        </w:rPr>
        <w:t>раздаточные материалы лектора в электронном виде;</w:t>
      </w:r>
    </w:p>
    <w:p w:rsidR="00EE3EBE" w:rsidRDefault="00EE3EBE" w:rsidP="00EE3EBE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запись</w:t>
      </w:r>
      <w:r w:rsidRPr="004255F8">
        <w:rPr>
          <w:rFonts w:ascii="Etelka Light Pro" w:hAnsi="Etelka Light Pro"/>
          <w:sz w:val="22"/>
          <w:szCs w:val="22"/>
        </w:rPr>
        <w:t xml:space="preserve"> </w:t>
      </w:r>
      <w:r>
        <w:rPr>
          <w:rFonts w:ascii="Etelka Light Pro" w:hAnsi="Etelka Light Pro"/>
          <w:sz w:val="22"/>
          <w:szCs w:val="22"/>
        </w:rPr>
        <w:t>мероприятия</w:t>
      </w:r>
      <w:r w:rsidRPr="004255F8">
        <w:rPr>
          <w:rFonts w:ascii="Etelka Light Pro" w:hAnsi="Etelka Light Pro"/>
          <w:sz w:val="22"/>
          <w:szCs w:val="22"/>
        </w:rPr>
        <w:t xml:space="preserve"> в электронном виде.</w:t>
      </w:r>
    </w:p>
    <w:p w:rsidR="00761FA9" w:rsidRPr="00D20DE3" w:rsidRDefault="00761FA9" w:rsidP="00761FA9">
      <w:pPr>
        <w:tabs>
          <w:tab w:val="left" w:pos="2925"/>
        </w:tabs>
        <w:spacing w:before="120"/>
        <w:jc w:val="center"/>
        <w:rPr>
          <w:rFonts w:ascii="Etelka Text Pro" w:hAnsi="Etelka Text Pro" w:cs="Etelka Text Pro"/>
          <w:b/>
        </w:rPr>
      </w:pPr>
      <w:r w:rsidRPr="00D20DE3">
        <w:rPr>
          <w:rFonts w:ascii="Etelka Text Pro" w:hAnsi="Etelka Text Pro" w:cs="Etelka Text Pro"/>
          <w:b/>
        </w:rPr>
        <w:t>Программа семинара:</w:t>
      </w:r>
      <w:r w:rsidRPr="00D20DE3">
        <w:rPr>
          <w:rFonts w:ascii="Etelka Text Pro" w:hAnsi="Etelka Text Pro" w:cs="Etelka Text Pro"/>
          <w:b/>
          <w:vertAlign w:val="superscript"/>
        </w:rPr>
        <w:footnoteReference w:id="1"/>
      </w:r>
    </w:p>
    <w:p w:rsidR="00761FA9" w:rsidRPr="00D20DE3" w:rsidRDefault="00761FA9" w:rsidP="00761FA9">
      <w:pPr>
        <w:shd w:val="clear" w:color="auto" w:fill="FFFFFF"/>
        <w:spacing w:before="120"/>
        <w:rPr>
          <w:rFonts w:eastAsia="Calibri"/>
          <w:b/>
        </w:rPr>
      </w:pPr>
      <w:bookmarkStart w:id="0" w:name="_Toc117191829"/>
      <w:bookmarkStart w:id="1" w:name="_Toc117266325"/>
      <w:bookmarkStart w:id="2" w:name="_Toc117790050"/>
      <w:bookmarkStart w:id="3" w:name="_Toc117790128"/>
      <w:bookmarkStart w:id="4" w:name="_Toc117798959"/>
      <w:bookmarkStart w:id="5" w:name="_Toc117799197"/>
      <w:bookmarkStart w:id="6" w:name="_Toc117936216"/>
      <w:bookmarkStart w:id="7" w:name="_Toc117944656"/>
      <w:bookmarkStart w:id="8" w:name="_Toc117946314"/>
      <w:bookmarkStart w:id="9" w:name="_Toc117957957"/>
      <w:bookmarkStart w:id="10" w:name="_Toc117961930"/>
      <w:bookmarkStart w:id="11" w:name="_Toc117962122"/>
      <w:bookmarkStart w:id="12" w:name="_Toc117963032"/>
      <w:bookmarkStart w:id="13" w:name="_Toc117969011"/>
      <w:bookmarkStart w:id="14" w:name="_Toc118640986"/>
      <w:bookmarkStart w:id="15" w:name="_Toc118659480"/>
      <w:bookmarkStart w:id="16" w:name="_Toc79435147"/>
      <w:bookmarkStart w:id="17" w:name="_Toc79524557"/>
      <w:bookmarkStart w:id="18" w:name="_Toc79526088"/>
      <w:bookmarkStart w:id="19" w:name="_Toc79526203"/>
      <w:bookmarkStart w:id="20" w:name="_Toc79526401"/>
      <w:bookmarkStart w:id="21" w:name="_Toc79598470"/>
      <w:bookmarkStart w:id="22" w:name="_Toc79758715"/>
      <w:bookmarkStart w:id="23" w:name="_Toc79760549"/>
      <w:bookmarkStart w:id="24" w:name="_Toc80384951"/>
      <w:bookmarkStart w:id="25" w:name="_Toc80863213"/>
      <w:bookmarkStart w:id="26" w:name="_Toc81382237"/>
      <w:bookmarkStart w:id="27" w:name="_Toc82248818"/>
      <w:bookmarkStart w:id="28" w:name="_Toc82533981"/>
      <w:bookmarkStart w:id="29" w:name="_Toc86168283"/>
      <w:bookmarkStart w:id="30" w:name="_Toc86764157"/>
      <w:bookmarkStart w:id="31" w:name="_Toc88332164"/>
      <w:bookmarkStart w:id="32" w:name="_Toc88677499"/>
      <w:bookmarkStart w:id="33" w:name="_Toc89471908"/>
      <w:bookmarkStart w:id="34" w:name="_Toc89523576"/>
      <w:bookmarkStart w:id="35" w:name="_Toc89531456"/>
      <w:bookmarkStart w:id="36" w:name="_Toc89532915"/>
      <w:bookmarkStart w:id="37" w:name="_Toc92708540"/>
      <w:bookmarkStart w:id="38" w:name="_Toc92735776"/>
      <w:bookmarkStart w:id="39" w:name="_Toc94637778"/>
      <w:bookmarkStart w:id="40" w:name="_Toc107336929"/>
      <w:bookmarkStart w:id="41" w:name="_Toc117191853"/>
      <w:bookmarkStart w:id="42" w:name="_Toc117266354"/>
      <w:bookmarkStart w:id="43" w:name="_Toc117790094"/>
      <w:bookmarkStart w:id="44" w:name="_Toc117790172"/>
      <w:bookmarkStart w:id="45" w:name="_Toc117799003"/>
      <w:bookmarkStart w:id="46" w:name="_Toc117799241"/>
      <w:bookmarkStart w:id="47" w:name="_Toc117936261"/>
      <w:bookmarkStart w:id="48" w:name="_Toc117944701"/>
      <w:r w:rsidRPr="00D20DE3">
        <w:rPr>
          <w:rFonts w:ascii="Etelka Light Pro" w:hAnsi="Etelka Light Pro"/>
          <w:b/>
        </w:rPr>
        <w:t>1. Ключевые моменты концепции государственной миграционной политики до 2030 года.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Цифровой профиль иностранца с июля 2026 года.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>Иностранцы, представляющие интерес для РФ.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t xml:space="preserve">2. Поэтапная реализация принципа приоритетного трудоустройства граждан России.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Защита рынка труда и переход на целевой организованный набор и квотирование с 2027 года.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Опрос работодателей для расчета заявок и определения приоритетных отраслей.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Автоматический контроль доходов трудовых мигрантов.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Обмен информацией между ФНС и МВД по форме РСВ.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Аннулирование патента, РВП или ВНЖ при отсутствии данных о заработке или доходе ниже прожиточного минимума. 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bookmarkStart w:id="49" w:name="_Toc117944657"/>
      <w:bookmarkStart w:id="50" w:name="_Toc117936217"/>
      <w:bookmarkStart w:id="51" w:name="_Toc117799198"/>
      <w:bookmarkStart w:id="52" w:name="_Toc117798960"/>
      <w:bookmarkStart w:id="53" w:name="_Toc117790129"/>
      <w:bookmarkStart w:id="54" w:name="_Toc117790051"/>
      <w:bookmarkStart w:id="55" w:name="_Toc117266326"/>
      <w:bookmarkStart w:id="56" w:name="_Toc117191830"/>
      <w:bookmarkStart w:id="57" w:name="_Toc107336902"/>
      <w:bookmarkStart w:id="58" w:name="_Toc94637720"/>
      <w:bookmarkStart w:id="59" w:name="_Toc92735720"/>
      <w:bookmarkStart w:id="60" w:name="_Toc92708485"/>
      <w:bookmarkStart w:id="61" w:name="_Toc89532862"/>
      <w:bookmarkStart w:id="62" w:name="_Toc89531404"/>
      <w:bookmarkStart w:id="63" w:name="_Toc89523524"/>
      <w:bookmarkStart w:id="64" w:name="_Toc29045592"/>
      <w:bookmarkStart w:id="65" w:name="_Toc29066150"/>
      <w:bookmarkStart w:id="66" w:name="_Toc29068617"/>
      <w:bookmarkStart w:id="67" w:name="_Toc29069320"/>
      <w:bookmarkStart w:id="68" w:name="_Toc29201380"/>
      <w:bookmarkStart w:id="69" w:name="_Toc54381847"/>
      <w:bookmarkStart w:id="70" w:name="_Toc54389319"/>
      <w:bookmarkStart w:id="71" w:name="_Toc54389368"/>
      <w:bookmarkStart w:id="72" w:name="_Toc54389449"/>
      <w:bookmarkStart w:id="73" w:name="_Toc54389545"/>
      <w:bookmarkStart w:id="74" w:name="_Toc54430198"/>
      <w:bookmarkStart w:id="75" w:name="_Toc55338050"/>
      <w:bookmarkStart w:id="76" w:name="_Toc56077647"/>
      <w:bookmarkStart w:id="77" w:name="_Toc56084604"/>
      <w:bookmarkStart w:id="78" w:name="_Toc57752679"/>
      <w:bookmarkStart w:id="79" w:name="_Toc58095672"/>
      <w:bookmarkStart w:id="80" w:name="_Toc58594726"/>
      <w:bookmarkStart w:id="81" w:name="_Toc58754544"/>
      <w:bookmarkStart w:id="82" w:name="_Toc58770389"/>
      <w:bookmarkStart w:id="83" w:name="_Toc58782347"/>
      <w:bookmarkStart w:id="84" w:name="_Toc60578760"/>
      <w:bookmarkStart w:id="85" w:name="_Toc61721189"/>
      <w:bookmarkStart w:id="86" w:name="_Toc62062095"/>
      <w:bookmarkStart w:id="87" w:name="_Toc67150043"/>
      <w:bookmarkStart w:id="88" w:name="_Toc67154088"/>
      <w:bookmarkStart w:id="89" w:name="_Toc71018524"/>
      <w:bookmarkStart w:id="90" w:name="_Toc79758680"/>
      <w:bookmarkStart w:id="91" w:name="_Toc79598438"/>
      <w:bookmarkStart w:id="92" w:name="_Toc79526370"/>
      <w:bookmarkStart w:id="93" w:name="_Toc79526172"/>
      <w:bookmarkStart w:id="94" w:name="_Toc79526057"/>
      <w:bookmarkStart w:id="95" w:name="_Toc79524526"/>
      <w:bookmarkStart w:id="96" w:name="_Toc79435116"/>
      <w:bookmarkStart w:id="97" w:name="_Toc71018527"/>
      <w:bookmarkStart w:id="98" w:name="_Toc67154091"/>
      <w:bookmarkStart w:id="99" w:name="_Toc67150046"/>
      <w:bookmarkStart w:id="100" w:name="_Toc62062098"/>
      <w:bookmarkStart w:id="101" w:name="_Toc61721192"/>
      <w:bookmarkStart w:id="102" w:name="_Toc60578763"/>
      <w:bookmarkStart w:id="103" w:name="_Toc58782350"/>
      <w:bookmarkStart w:id="104" w:name="_Toc58770392"/>
      <w:bookmarkStart w:id="105" w:name="_Toc58754547"/>
      <w:bookmarkStart w:id="106" w:name="_Toc58594729"/>
      <w:bookmarkStart w:id="107" w:name="_Toc58095675"/>
      <w:bookmarkStart w:id="108" w:name="_Toc57752682"/>
      <w:bookmarkStart w:id="109" w:name="_Toc56084607"/>
      <w:bookmarkStart w:id="110" w:name="_Toc56077650"/>
      <w:bookmarkStart w:id="111" w:name="_Toc55338052"/>
      <w:bookmarkStart w:id="112" w:name="_Toc54430200"/>
      <w:bookmarkStart w:id="113" w:name="_Toc54389547"/>
      <w:bookmarkStart w:id="114" w:name="_Toc54389451"/>
      <w:bookmarkStart w:id="115" w:name="_Toc54389370"/>
      <w:bookmarkStart w:id="116" w:name="_Toc54389321"/>
      <w:bookmarkStart w:id="117" w:name="_Toc54381849"/>
      <w:bookmarkStart w:id="118" w:name="_Toc29201386"/>
      <w:bookmarkStart w:id="119" w:name="_Toc29069326"/>
      <w:bookmarkStart w:id="120" w:name="_Toc29068622"/>
      <w:bookmarkStart w:id="121" w:name="_Toc29066155"/>
      <w:bookmarkStart w:id="122" w:name="_Toc29045597"/>
      <w:bookmarkStart w:id="123" w:name="_Toc26126890"/>
      <w:bookmarkStart w:id="124" w:name="_Toc24573518"/>
      <w:bookmarkStart w:id="125" w:name="_Toc24572627"/>
      <w:bookmarkStart w:id="126" w:name="_Toc24570738"/>
      <w:bookmarkStart w:id="127" w:name="_Toc24525030"/>
      <w:bookmarkStart w:id="128" w:name="_Toc21710591"/>
      <w:bookmarkStart w:id="129" w:name="_Toc21706698"/>
      <w:bookmarkStart w:id="130" w:name="_Toc17738259"/>
      <w:bookmarkStart w:id="131" w:name="_Toc17724154"/>
      <w:bookmarkStart w:id="132" w:name="_Toc17717673"/>
      <w:bookmarkStart w:id="133" w:name="_Toc17654631"/>
      <w:bookmarkStart w:id="134" w:name="_Toc16953171"/>
      <w:bookmarkStart w:id="135" w:name="_Toc16947602"/>
      <w:bookmarkStart w:id="136" w:name="_Toc14725938"/>
      <w:bookmarkStart w:id="137" w:name="_Toc534712272"/>
      <w:bookmarkStart w:id="138" w:name="_Toc117946316"/>
      <w:bookmarkStart w:id="139" w:name="_Toc117957959"/>
      <w:bookmarkStart w:id="140" w:name="_Toc117961932"/>
      <w:bookmarkStart w:id="141" w:name="_Toc117962124"/>
      <w:bookmarkStart w:id="142" w:name="_Toc117963034"/>
      <w:bookmarkStart w:id="143" w:name="_Toc117969013"/>
      <w:bookmarkStart w:id="144" w:name="_Toc118640988"/>
      <w:bookmarkStart w:id="145" w:name="_Toc118659482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r w:rsidRPr="00D20DE3">
        <w:rPr>
          <w:rFonts w:ascii="Etelka Light Pro" w:hAnsi="Etelka Light Pro"/>
          <w:b/>
        </w:rPr>
        <w:t xml:space="preserve">3. Защита персональных данных.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Cambria" w:hAnsi="Cambria"/>
        </w:rPr>
      </w:pPr>
      <w:r w:rsidRPr="00D20DE3">
        <w:rPr>
          <w:rFonts w:ascii="Etelka Light Pro" w:hAnsi="Etelka Light Pro"/>
        </w:rPr>
        <w:t xml:space="preserve">Изменение категории риска у отдельных операторов ПД.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Cambria" w:hAnsi="Cambria"/>
          <w:u w:val="single"/>
        </w:rPr>
      </w:pPr>
      <w:r w:rsidRPr="00D20DE3">
        <w:rPr>
          <w:rFonts w:ascii="Etelka Light Pro" w:hAnsi="Etelka Light Pro"/>
          <w:u w:val="single"/>
        </w:rPr>
        <w:t>Единая платформа согласий на обработку персональных данных через «</w:t>
      </w:r>
      <w:proofErr w:type="spellStart"/>
      <w:r w:rsidRPr="00D20DE3">
        <w:rPr>
          <w:rFonts w:ascii="Etelka Light Pro" w:hAnsi="Etelka Light Pro"/>
          <w:u w:val="single"/>
        </w:rPr>
        <w:t>Госуслуги</w:t>
      </w:r>
      <w:proofErr w:type="spellEnd"/>
      <w:r w:rsidRPr="00D20DE3">
        <w:rPr>
          <w:rFonts w:ascii="Etelka Light Pro" w:hAnsi="Etelka Light Pro"/>
          <w:u w:val="single"/>
        </w:rPr>
        <w:t xml:space="preserve"> в 2028 году. </w:t>
      </w:r>
    </w:p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lastRenderedPageBreak/>
        <w:t xml:space="preserve">4. Доказательная база трудовых отношений в ТК РФ.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Значения ключевых показателей для проверки ГИТ.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Реестр работодателей с нелегальной занятостью.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Кадровые и бухгалтерские последствия переквалификации договоров ГПХ в трудовые.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>Уточненная отчетность.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t xml:space="preserve">5. Рабочее время и время отдыха.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Неполное рабочее время.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Оплата за работу в выходные и нерабочие праздничные дни, в сверхурочное и ночное время.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Предоставление и компенсация отгулов. 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t xml:space="preserve">6. Отпуска.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Сроки для оформления отпуска по графику и вне графика.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Варианты уведомления о начале отпуска.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Правила продления и переноса отпусков.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Изменения в отпусках для льготных категорий граждан.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Разделение отпуска на части.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>Снятие запрета на отзыв из непрерывного отпуска работников, занятых на работах с вредными и опасными условиями труда.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t xml:space="preserve">7. Гарантии и компенсации.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Особенности труда беременных женщин, и лиц с семейными обязанностями.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Многодетные родители: права, гарантии и компенсации.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Злоупотребление работников своими правами.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>Гарантии и права работников-доноров.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t xml:space="preserve">8. Расчеты с работниками.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  <w:u w:val="single"/>
        </w:rPr>
        <w:t>Доплаты за совмещение, расширение зоны обслуживания и временное заместительство.</w:t>
      </w:r>
      <w:r w:rsidRPr="00D20DE3">
        <w:rPr>
          <w:rFonts w:ascii="Etelka Light Pro" w:hAnsi="Etelka Light Pro"/>
        </w:rPr>
        <w:t xml:space="preserve">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Удержания из заработной платы: очередность, применение ограничений.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Общедоступный реестр должников по алиментам.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>Расчеты при увольнении.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t xml:space="preserve">9. Социальный фонд России.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Расширение состава сведений индивидуального лицевого счета.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Сроки и порядок представления ЕФС-1.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>Сверка старой отчетности по стажу и РСВ.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t>10. Пособия.  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Новые правила выдачи больничных часто болеющим.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Пособия для иностранцев и исполнителей по ГПХ.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Порядок оформления больничных </w:t>
      </w:r>
      <w:proofErr w:type="spellStart"/>
      <w:r w:rsidRPr="00D20DE3">
        <w:rPr>
          <w:rFonts w:ascii="Etelka Light Pro" w:hAnsi="Etelka Light Pro"/>
        </w:rPr>
        <w:t>самозанятым</w:t>
      </w:r>
      <w:proofErr w:type="spellEnd"/>
      <w:r w:rsidRPr="00D20DE3">
        <w:rPr>
          <w:rFonts w:ascii="Etelka Light Pro" w:hAnsi="Etelka Light Pro"/>
        </w:rPr>
        <w:t xml:space="preserve"> гражданам.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t xml:space="preserve">11. Взносы на травматизм.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Новый лимит для компенсаций расходов дистанционных работника.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Порядок расчета, сроки уплаты и представление отчетности по взносам на травматизм. 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lastRenderedPageBreak/>
        <w:t xml:space="preserve">12. Страховые взносы и отчетность.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Объект, необлагаемые суммы и база по страховым взносам.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Пониженные тарифы для приоритетных субъектов МСП.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Доначисление взносов с выплат в пользу руководителя коммерческой организации.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Взносы по дополнительным тарифам. Формы РСВ и ПСФЛ. 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t xml:space="preserve">13. НДФЛ.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Базы, ставки и прогрессивная шкала по НДФЛ.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Правила расчета НДФЛ с зарплаты, отпускных, дивидендов, районных коэффициентов, дохода от продажи недвижимости.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Материальная помощь при рождении ребенка с 2026 г.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Вычет по НДФЛ за сдачу нормативов ГТО. Особенности расчета налога с граждан ЕАЭС.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Особенности расчета НДФЛ с районных коэффициентов и «северных» надбавок.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Форма 6-НДФЛ и ее контрольные соотношения. </w:t>
      </w:r>
    </w:p>
    <w:p w:rsidR="00761FA9" w:rsidRPr="00D20DE3" w:rsidRDefault="00761FA9" w:rsidP="00761FA9">
      <w:pPr>
        <w:shd w:val="clear" w:color="auto" w:fill="FFFFFF"/>
        <w:spacing w:before="120"/>
        <w:rPr>
          <w:rFonts w:ascii="Etelka Light Pro" w:hAnsi="Etelka Light Pro"/>
          <w:b/>
        </w:rPr>
      </w:pPr>
      <w:r w:rsidRPr="00D20DE3">
        <w:rPr>
          <w:rFonts w:ascii="Etelka Light Pro" w:hAnsi="Etelka Light Pro"/>
          <w:b/>
        </w:rPr>
        <w:t xml:space="preserve">14. Проверка зарплатной отчетности ФНС.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Раскрытие ФНС налоговых схем по НДФЛ и страховым взносам.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Дивиденды, подарки, аренда, ВКС.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  <w:u w:val="single"/>
        </w:rPr>
      </w:pPr>
      <w:r w:rsidRPr="00D20DE3">
        <w:rPr>
          <w:rFonts w:ascii="Etelka Light Pro" w:hAnsi="Etelka Light Pro"/>
          <w:u w:val="single"/>
        </w:rPr>
        <w:t xml:space="preserve">Контроль отношений с подрядчиками и </w:t>
      </w:r>
      <w:proofErr w:type="spellStart"/>
      <w:r w:rsidRPr="00D20DE3">
        <w:rPr>
          <w:rFonts w:ascii="Etelka Light Pro" w:hAnsi="Etelka Light Pro"/>
          <w:u w:val="single"/>
        </w:rPr>
        <w:t>самозанятыми</w:t>
      </w:r>
      <w:proofErr w:type="spellEnd"/>
      <w:r w:rsidRPr="00D20DE3">
        <w:rPr>
          <w:rFonts w:ascii="Etelka Light Pro" w:hAnsi="Etelka Light Pro"/>
          <w:u w:val="single"/>
        </w:rPr>
        <w:t xml:space="preserve">.  </w:t>
      </w:r>
    </w:p>
    <w:p w:rsidR="00761FA9" w:rsidRPr="00D20DE3" w:rsidRDefault="00761FA9" w:rsidP="00761FA9">
      <w:pPr>
        <w:numPr>
          <w:ilvl w:val="0"/>
          <w:numId w:val="3"/>
        </w:numPr>
        <w:spacing w:before="60"/>
        <w:rPr>
          <w:rFonts w:ascii="Etelka Light Pro" w:hAnsi="Etelka Light Pro"/>
        </w:rPr>
      </w:pPr>
      <w:r w:rsidRPr="00D20DE3">
        <w:rPr>
          <w:rFonts w:ascii="Etelka Light Pro" w:hAnsi="Etelka Light Pro"/>
        </w:rPr>
        <w:t xml:space="preserve">Автоматизированная платформа для регистрации </w:t>
      </w:r>
      <w:proofErr w:type="spellStart"/>
      <w:r w:rsidRPr="00D20DE3">
        <w:rPr>
          <w:rFonts w:ascii="Etelka Light Pro" w:hAnsi="Etelka Light Pro"/>
        </w:rPr>
        <w:t>самозанятых</w:t>
      </w:r>
      <w:proofErr w:type="spellEnd"/>
      <w:r w:rsidRPr="00D20DE3">
        <w:rPr>
          <w:rFonts w:ascii="Etelka Light Pro" w:hAnsi="Etelka Light Pro"/>
        </w:rPr>
        <w:t>.</w:t>
      </w:r>
    </w:p>
    <w:p w:rsidR="00761FA9" w:rsidRDefault="00761FA9" w:rsidP="00761FA9">
      <w:r w:rsidRPr="00D20DE3">
        <w:rPr>
          <w:rFonts w:ascii="Etelka Light Pro" w:hAnsi="Etelka Light Pro"/>
        </w:rPr>
        <w:br w:type="page"/>
      </w:r>
    </w:p>
    <w:p w:rsidR="00EE3EBE" w:rsidRPr="00CC2DC1" w:rsidRDefault="00EE3EBE" w:rsidP="00EE3EBE">
      <w:pPr>
        <w:pStyle w:val="a3"/>
        <w:spacing w:before="240" w:line="276" w:lineRule="auto"/>
        <w:ind w:left="0"/>
        <w:contextualSpacing w:val="0"/>
        <w:jc w:val="both"/>
        <w:rPr>
          <w:rFonts w:ascii="Etelka Light Pro" w:hAnsi="Etelka Light Pro"/>
          <w:i/>
          <w:sz w:val="22"/>
          <w:szCs w:val="22"/>
        </w:rPr>
      </w:pPr>
      <w:bookmarkStart w:id="146" w:name="_GoBack"/>
      <w:bookmarkEnd w:id="146"/>
    </w:p>
    <w:sectPr w:rsidR="00EE3EBE" w:rsidRPr="00CC2DC1" w:rsidSect="00EE3EBE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604F" w:rsidRDefault="0005604F" w:rsidP="00761FA9">
      <w:r>
        <w:separator/>
      </w:r>
    </w:p>
  </w:endnote>
  <w:endnote w:type="continuationSeparator" w:id="0">
    <w:p w:rsidR="0005604F" w:rsidRDefault="0005604F" w:rsidP="00761F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Etelka Light Pro">
    <w:altName w:val="Corbel"/>
    <w:panose1 w:val="00000000000000000000"/>
    <w:charset w:val="00"/>
    <w:family w:val="modern"/>
    <w:notTrueType/>
    <w:pitch w:val="variable"/>
    <w:sig w:usb0="800002AF" w:usb1="5000206A" w:usb2="00000000" w:usb3="00000000" w:csb0="0000009F" w:csb1="00000000"/>
  </w:font>
  <w:font w:name="Etelka Text Pro">
    <w:altName w:val="Corbel"/>
    <w:panose1 w:val="00000000000000000000"/>
    <w:charset w:val="00"/>
    <w:family w:val="modern"/>
    <w:notTrueType/>
    <w:pitch w:val="variable"/>
    <w:sig w:usb0="800002AF" w:usb1="5000206A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604F" w:rsidRDefault="0005604F" w:rsidP="00761FA9">
      <w:r>
        <w:separator/>
      </w:r>
    </w:p>
  </w:footnote>
  <w:footnote w:type="continuationSeparator" w:id="0">
    <w:p w:rsidR="0005604F" w:rsidRDefault="0005604F" w:rsidP="00761FA9">
      <w:r>
        <w:continuationSeparator/>
      </w:r>
    </w:p>
  </w:footnote>
  <w:footnote w:id="1">
    <w:p w:rsidR="00761FA9" w:rsidRDefault="00761FA9" w:rsidP="00761FA9">
      <w:pPr>
        <w:pStyle w:val="a4"/>
        <w:jc w:val="both"/>
      </w:pPr>
      <w:r>
        <w:rPr>
          <w:rStyle w:val="a6"/>
          <w:rFonts w:ascii="Etelka Text Pro" w:hAnsi="Etelka Text Pro"/>
        </w:rPr>
        <w:footnoteRef/>
      </w:r>
      <w:r>
        <w:rPr>
          <w:rFonts w:ascii="Etelka Light Pro" w:hAnsi="Etelka Light Pro" w:cs="Etelka Light Pro"/>
          <w:i/>
          <w:sz w:val="16"/>
          <w:szCs w:val="14"/>
        </w:rPr>
        <w:t xml:space="preserve"> Программа будет дополнена в случае принятия ко дню проведения семинара законов, вносящих изменения и дополнения в ТК РФ, НК РФ и другие законы, имеющие отношение к проведению расчетов с работниками и налогообложению выплат. </w:t>
      </w:r>
    </w:p>
    <w:p w:rsidR="00761FA9" w:rsidRDefault="00761FA9" w:rsidP="00761FA9">
      <w:pPr>
        <w:pStyle w:val="a4"/>
        <w:rPr>
          <w:rFonts w:ascii="Etelka Light Pro" w:hAnsi="Etelka Light Pro" w:cs="Etelka Light Pro"/>
          <w:i/>
          <w:sz w:val="16"/>
          <w:szCs w:val="14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304E6D"/>
    <w:multiLevelType w:val="hybridMultilevel"/>
    <w:tmpl w:val="8E9A561A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  <w:szCs w:val="36"/>
      </w:rPr>
    </w:lvl>
    <w:lvl w:ilvl="1" w:tplc="EBCA33F4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  <w:color w:val="A6A6A6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183566EE"/>
    <w:multiLevelType w:val="hybridMultilevel"/>
    <w:tmpl w:val="FDD0B8F8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FF4D21"/>
    <w:multiLevelType w:val="hybridMultilevel"/>
    <w:tmpl w:val="56ECF246"/>
    <w:lvl w:ilvl="0" w:tplc="EACC23C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EBE"/>
    <w:rsid w:val="0005604F"/>
    <w:rsid w:val="001D60A2"/>
    <w:rsid w:val="00761FA9"/>
    <w:rsid w:val="00EE3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A6F82"/>
  <w15:chartTrackingRefBased/>
  <w15:docId w15:val="{34B34F79-1E30-4E07-ADBB-9B34FDF4D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3E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E3EBE"/>
    <w:pPr>
      <w:ind w:left="720"/>
      <w:contextualSpacing/>
    </w:pPr>
  </w:style>
  <w:style w:type="paragraph" w:styleId="a4">
    <w:name w:val="footnote text"/>
    <w:basedOn w:val="a"/>
    <w:link w:val="a5"/>
    <w:uiPriority w:val="99"/>
    <w:unhideWhenUsed/>
    <w:rsid w:val="00761FA9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761FA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Символ сноски"/>
    <w:rsid w:val="00761FA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675</Words>
  <Characters>3852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Коваленко</dc:creator>
  <cp:keywords/>
  <dc:description/>
  <cp:lastModifiedBy>Марина Коваленко</cp:lastModifiedBy>
  <cp:revision>2</cp:revision>
  <dcterms:created xsi:type="dcterms:W3CDTF">2026-04-02T00:26:00Z</dcterms:created>
  <dcterms:modified xsi:type="dcterms:W3CDTF">2026-05-22T06:27:00Z</dcterms:modified>
</cp:coreProperties>
</file>